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20" w:rsidRPr="00127A10" w:rsidRDefault="00D30320" w:rsidP="00D3032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27A1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D30320" w:rsidRPr="00127A10" w:rsidRDefault="00D30320" w:rsidP="00D3032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bookmarkStart w:id="0" w:name="_GoBack"/>
      <w:bookmarkEnd w:id="0"/>
      <w:r w:rsidRPr="00127A1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ГРАФИК</w:t>
      </w:r>
    </w:p>
    <w:p w:rsidR="00D30320" w:rsidRPr="00127A10" w:rsidRDefault="00D30320" w:rsidP="00D30320">
      <w:pPr>
        <w:spacing w:after="1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127A1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Регламентных работ по техническому обслуживанию </w:t>
      </w:r>
      <w:hyperlink r:id="rId4" w:tooltip="Инженерные системы" w:history="1">
        <w:r w:rsidRPr="00127A10">
          <w:rPr>
            <w:rFonts w:ascii="Tahoma" w:eastAsia="Times New Roman" w:hAnsi="Tahoma" w:cs="Tahoma"/>
            <w:b/>
            <w:bCs/>
            <w:color w:val="743399"/>
            <w:sz w:val="21"/>
            <w:szCs w:val="21"/>
            <w:bdr w:val="none" w:sz="0" w:space="0" w:color="auto" w:frame="1"/>
            <w:lang w:eastAsia="ru-RU"/>
          </w:rPr>
          <w:t>инженерных систем</w:t>
        </w:r>
      </w:hyperlink>
      <w:r w:rsidRPr="00127A1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и помещений</w:t>
      </w:r>
    </w:p>
    <w:tbl>
      <w:tblPr>
        <w:tblW w:w="15571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777"/>
        <w:gridCol w:w="1770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320"/>
        <w:gridCol w:w="320"/>
        <w:gridCol w:w="333"/>
      </w:tblGrid>
      <w:tr w:rsidR="00D30320" w:rsidRPr="00127A10" w:rsidTr="00826194">
        <w:trPr>
          <w:trHeight w:val="471"/>
        </w:trPr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77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работ</w:t>
            </w:r>
          </w:p>
        </w:tc>
        <w:tc>
          <w:tcPr>
            <w:tcW w:w="177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Периодичность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5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2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3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 </w:t>
            </w:r>
            <w:hyperlink r:id="rId5" w:tooltip="Энергоснабжение" w:history="1">
              <w:r w:rsidRPr="00127A10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энергоснабжения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Электроснабжение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(Щитовые)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электрооборудования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изоляции (запыленность, наличие трещин, разрядов и. т.п.)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0320" w:rsidRDefault="00D30320" w:rsidP="00826194">
            <w:r w:rsidRPr="0080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показаний приборов учета с записью в журнале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0320" w:rsidRDefault="00D30320" w:rsidP="00826194">
            <w:r w:rsidRPr="0080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показаний счетчиков в часы максимума нагрузки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0320" w:rsidRDefault="00D30320" w:rsidP="00826194">
            <w:r w:rsidRPr="0080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наличия средств пожаротушения в </w:t>
            </w:r>
            <w:proofErr w:type="spell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0320" w:rsidRDefault="00D30320" w:rsidP="00826194">
            <w:r w:rsidRPr="0080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исправных и испытанных средств защиты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0320" w:rsidRDefault="00D30320" w:rsidP="00826194">
            <w:r w:rsidRPr="0080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перегоревших ламп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0320" w:rsidRDefault="00D30320" w:rsidP="00826194">
            <w:r w:rsidRPr="0080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лакокрасочного покрытия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маркировки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Замер токов и напряжения по основным отходящим линиям с помощью встроенных приборов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(проект, на данный момент не приобретено)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работоспособности устройства автоматического включения резерва питания (АВР)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электрических щитов и аппаратов от пыли и грязи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Поверка срабатывания УЗО и автоматических выключателей, при необходимости замена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запирающих устройств, замков электрощитов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в техническом помещении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Чистка кабельных каналов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Протяжка контактных соединений и наконечников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кабельных линий сечением от 0,7 до 6мм2, до 30м с автоматом соответствующего номинала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исправности аварийного освещения при отключении рабочего освещения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корпуса светильника от пыли и грязи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надежности креплений оборудования, светильников, </w:t>
            </w:r>
            <w:proofErr w:type="spell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элетроустановочного</w:t>
            </w:r>
            <w:proofErr w:type="spellEnd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 (розетки, выключатели и. т.д.) при необходимости замена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Источник бесперебойного питания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входных и выходных параметров ИБП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 </w:t>
            </w:r>
            <w:hyperlink r:id="rId6" w:tooltip="Зарядные устройства" w:history="1">
              <w:r w:rsidRPr="00127A1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зарядного устройства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работы </w:t>
            </w:r>
            <w:hyperlink r:id="rId7" w:tooltip="Вентилятор" w:history="1">
              <w:r w:rsidRPr="00127A1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вентиляторов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Визуальная проверка работы системы сигнализации и мониторинга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Визуальная проверка состояния </w:t>
            </w:r>
            <w:hyperlink r:id="rId8" w:tooltip="Аккумуляторные батареи" w:history="1">
              <w:r w:rsidRPr="00127A1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аккумуляторных батарей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Визуальная проверка электрических соединений блоков и узлов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в техническом помещении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маркировки при необходимости восстановление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Дизель-генераторная установка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внутреннего освещения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напряжения на ЩСН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 </w:t>
            </w:r>
            <w:hyperlink r:id="rId9" w:tooltip="Вентиляция" w:history="1">
              <w:r w:rsidRPr="00127A10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вентиляции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контроль состояния теплообменников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воздушных решеток\ замена фильтров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ремня привода вентиляторов, при необходимости замена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соответствия рабочих параметров проектным данным, с предоставлением акта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рабочих положений выключателей и переключателей и исправности световой индикации на щитах управления и сигнализации, при необходимости замена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срабатывания системы автоматического управления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Визуальный контроль состояния </w:t>
            </w:r>
            <w:proofErr w:type="spell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оребрения</w:t>
            </w:r>
            <w:proofErr w:type="spellEnd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теплообменников (воздухонагревателей и воздухоохладителей) их чистка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воздуха на выходе\ теплоносителя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работы капиллярной системы защиты от заморозки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работоспособности ЗРА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(запорно-регулирующей арматуры)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исправности </w:t>
            </w:r>
            <w:proofErr w:type="spell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огнезадерживающих</w:t>
            </w:r>
            <w:proofErr w:type="spellEnd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клапанов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водяных систем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на прочность и плотность водяных систем, при необходимости замена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(запорной арматуры)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Метрологическая поверка </w:t>
            </w:r>
            <w:proofErr w:type="gram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контрольно-измерительных приборов)</w:t>
            </w: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специализированной организации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уборка в техническом помещении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Прочистка/промывка системы дренажа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от пыли вентиляционных решеток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вентиляционных решеток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Демонтаж/монтаж/перенос оборудования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воздушных фильтров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перевод оборудования на работу в зимний и летний периоды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защитных сеток и жалюзи перед вентилятором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теплового режима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маркировки при необходимости восстановление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Кондиционирование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холодоснабжения (Центральное кондиционирование)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контроль работы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протечек, ЗРА, теплоизоляции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вент. решеток и корпуса оборудования от пыли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и дезинфекция воздушного фильтра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исправности системы индикации режимов, при необходимости замена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блока вентилятора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герметичности контура охлаждения, протечек, при необходимости замена ЗРА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работоспособности дренажной системы, чистка поддона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воздушных фильтров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Чистка дренажной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Чистка теплообменника внутреннего блока.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3 месяца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Ревизия пульта </w:t>
            </w:r>
            <w:hyperlink r:id="rId10" w:tooltip="Дистанционное управление" w:history="1">
              <w:r w:rsidRPr="00127A1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дистанционного управления</w:t>
              </w:r>
            </w:hyperlink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необходимости перепрограммирование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Контрольные замеры температуры воздуха на входе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офис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системы, очистка фильтров и грязевиков, сезонное регулирование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 </w:t>
            </w:r>
            <w:hyperlink r:id="rId11" w:tooltip="Теплоснабжение" w:history="1">
              <w:r w:rsidRPr="00127A10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теплоснабжения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отопления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 на наличие работоспособности, протечек, целостности уплотнительных прокладок, при необходимости устранение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воздуха в системе, при необходимости удаление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1раз/неделю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 регулирующей арматуры на приборах отопления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1раз/неделю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Консервация системы, переход на режим "ЛЕТО"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и заполнение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наружной поверхности нагревательных приборов при необходимости очистка от пыли и грязи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1раз/месяц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ГВС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999999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 на наличие работоспособности, протечек, целостности уплотнительных прокладок, при необходимости устра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ХВС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 на наличие работоспособности, протечек, целостности уплотнительных прокладок, при необходимости устранение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DA46A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канализации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на наличие протечек, коррозии, запаха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отсутствия засорений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работоспособности жиро-уловителей при необходимости чистка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ливнестока и дренажа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на наличие протечек, коррозии, запаха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отсутствия засорений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Сантехническое оборудование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оборудования, трубопроводов, подводок, </w:t>
            </w:r>
            <w:hyperlink r:id="rId12" w:tooltip="Смесители" w:history="1">
              <w:r w:rsidRPr="00127A1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смесителей</w:t>
              </w:r>
            </w:hyperlink>
            <w:proofErr w:type="gram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проверка на наличие протечек, посторонних запахов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надежности крепления </w:t>
            </w:r>
            <w:hyperlink r:id="rId13" w:tooltip="Сантехнические системы" w:history="1">
              <w:r w:rsidRPr="00127A1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сантехнического оборудования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засоров в сантехнических приборах и трубопроводах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уплотнительных прокладок и герметичности ревизий, прочисток, водяных клапанов, регулировка и настройка расходов воды при необходимости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Проливка</w:t>
            </w:r>
            <w:proofErr w:type="spellEnd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санузлов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насосных установок (с разборкой)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Противопожарная система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противопожарного </w:t>
            </w:r>
            <w:hyperlink r:id="rId14" w:tooltip="Водопровод" w:history="1">
              <w:r w:rsidRPr="00127A10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водопровода</w:t>
              </w:r>
            </w:hyperlink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оборудования, трубопровода, внешних соединений, информационных надписей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корпуса, кнопок, выключателей и переключателей, световой индикации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испытаний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Перекатка рукавов на новую скатку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подпора воздуха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органов управления, сигнализаторов, манометров.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корпуса, кнопок, выключателей и переключателей, световой индикации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надписей и пломбировки щитов автоматики и сигнализации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испытаний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11.3.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 эвакуационного освещения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оборудования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электрических ламп при необходимости замена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основного и резервного источников питания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автоматического переключения с рабочего ввода на резервный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исправности аварийного и эвакуационного освещения при отключении рабочего освещения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испытаний системы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2раза/год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Общестроительные конструкции и работы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Фасад здания, входные группы, </w:t>
            </w:r>
            <w:hyperlink r:id="rId15" w:tooltip="Кровельные материалы" w:history="1">
              <w:r w:rsidRPr="00127A10">
                <w:rPr>
                  <w:rFonts w:ascii="Times New Roman" w:eastAsia="Times New Roman" w:hAnsi="Times New Roman" w:cs="Times New Roman"/>
                  <w:b/>
                  <w:bCs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кровля</w:t>
              </w:r>
            </w:hyperlink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придомовая и внутридомовая территория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Мойка фасада до 4м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Сезонная заливка компаундом дверных доводчиков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1раз/год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0.2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Помещения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и устранение видимых неисправностей дверей, регулировка полотен, регулировка доводчиков, протяжка петель и ручек, профилактика замков и шпингалетов, проверка уплотнителя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и устранение видимых неисправностей окон, уплотнителя, регулировка полотен, протяжка петель и ручек, профилактика замков, герметизация примыкания отливов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и устранение видимых неисправностей на стенах и полах, мелкий ремонт, заделка трещин, сколов, удаление пятен (до 30м2/месяц)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Визуальный осмотр и при необходимости мелкий ремонт напольного покрытия (</w:t>
            </w:r>
            <w:proofErr w:type="spellStart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"https://pandia.ru/text/category/laminat/" \o "Ламинат" </w:instrText>
            </w: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27A10">
              <w:rPr>
                <w:rFonts w:ascii="Times New Roman" w:eastAsia="Times New Roman" w:hAnsi="Times New Roman" w:cs="Times New Roman"/>
                <w:color w:val="743399"/>
                <w:sz w:val="24"/>
                <w:szCs w:val="24"/>
                <w:bdr w:val="none" w:sz="0" w:space="0" w:color="auto" w:frame="1"/>
                <w:lang w:eastAsia="ru-RU"/>
              </w:rPr>
              <w:t>ламинат</w:t>
            </w:r>
            <w:proofErr w:type="spellEnd"/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плиточное покрытие, 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плинтусов)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12.4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Прочее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C0C0C0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подключение/переключение дополнительного оборудования (стиральная машина, посудомоечная машина, машина для чистки обуви, накопительный бак и. т.д.)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30320" w:rsidRPr="00127A10" w:rsidTr="00826194">
        <w:trPr>
          <w:trHeight w:val="68"/>
        </w:trPr>
        <w:tc>
          <w:tcPr>
            <w:tcW w:w="765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и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установленного дополнительного оборудования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заявке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30320" w:rsidRPr="00127A10" w:rsidRDefault="00D30320" w:rsidP="0082619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D30320" w:rsidRPr="00127A10" w:rsidRDefault="00D30320" w:rsidP="00D3032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27A1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(выполняются по аварийным, стандартным и текущим заявкам)</w:t>
      </w:r>
    </w:p>
    <w:p w:rsidR="00343EDA" w:rsidRDefault="00343EDA" w:rsidP="00D30320"/>
    <w:sectPr w:rsidR="00343EDA" w:rsidSect="00D30320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20"/>
    <w:rsid w:val="000B266E"/>
    <w:rsid w:val="0027489E"/>
    <w:rsid w:val="00340539"/>
    <w:rsid w:val="00343EDA"/>
    <w:rsid w:val="005F6E84"/>
    <w:rsid w:val="00D30320"/>
    <w:rsid w:val="00D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EDCC6-92B7-4794-A81D-2A8D7FE6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kkumulyatornie_batarei/" TargetMode="External"/><Relationship Id="rId13" Type="http://schemas.openxmlformats.org/officeDocument/2006/relationships/hyperlink" Target="https://pandia.ru/text/category/santehnicheskie_siste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entilyator/" TargetMode="External"/><Relationship Id="rId12" Type="http://schemas.openxmlformats.org/officeDocument/2006/relationships/hyperlink" Target="https://pandia.ru/text/category/smesitel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zaryadnie_ustrojstva/" TargetMode="External"/><Relationship Id="rId11" Type="http://schemas.openxmlformats.org/officeDocument/2006/relationships/hyperlink" Target="https://pandia.ru/text/category/teplosnabzhenie/" TargetMode="External"/><Relationship Id="rId5" Type="http://schemas.openxmlformats.org/officeDocument/2006/relationships/hyperlink" Target="https://pandia.ru/text/category/yenergosnabzhenie/" TargetMode="External"/><Relationship Id="rId15" Type="http://schemas.openxmlformats.org/officeDocument/2006/relationships/hyperlink" Target="https://pandia.ru/text/category/krovelmznie_materiali/" TargetMode="External"/><Relationship Id="rId10" Type="http://schemas.openxmlformats.org/officeDocument/2006/relationships/hyperlink" Target="https://pandia.ru/text/category/distantcionnoe_upravlenie/" TargetMode="External"/><Relationship Id="rId4" Type="http://schemas.openxmlformats.org/officeDocument/2006/relationships/hyperlink" Target="https://pandia.ru/text/category/inzhenernie_sistemi/" TargetMode="External"/><Relationship Id="rId9" Type="http://schemas.openxmlformats.org/officeDocument/2006/relationships/hyperlink" Target="https://pandia.ru/text/category/ventilyatciya/" TargetMode="External"/><Relationship Id="rId14" Type="http://schemas.openxmlformats.org/officeDocument/2006/relationships/hyperlink" Target="https://pandia.ru/text/category/vodoprov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Кулаченкова Алёна Игоревна</dc:creator>
  <cp:keywords/>
  <dc:description/>
  <cp:lastModifiedBy>Кулаченкова Алёна Игоревна</cp:lastModifiedBy>
  <cp:revision>3</cp:revision>
  <dcterms:created xsi:type="dcterms:W3CDTF">2018-09-05T15:13:00Z</dcterms:created>
  <dcterms:modified xsi:type="dcterms:W3CDTF">2018-09-06T10:12:00Z</dcterms:modified>
</cp:coreProperties>
</file>